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0"/>
        <w:jc w:val="center"/>
        <w:rPr>
          <w:color w:val="000000"/>
        </w:rPr>
      </w:pPr>
      <w:r>
        <w:rPr>
          <w:rFonts w:ascii="Arial" w:hAnsi="Arial" w:eastAsia="Calibri"/>
          <w:i/>
          <w:color w:val="000000"/>
          <w:sz w:val="18"/>
          <w:szCs w:val="1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3415" cy="617151"/>
                <wp:effectExtent l="0" t="0" r="0" b="0"/>
                <wp:docPr id="1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23423623" name="" hidden="0"/>
                        <pic:cNvPicPr/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13414" cy="61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0.4pt;height:48.6pt;" stroked="f">
                <v:path textboxrect="0,0,0,0"/>
                <v:imagedata r:id="rId12" o:title=""/>
              </v:shape>
            </w:pict>
          </mc:Fallback>
        </mc:AlternateContent>
      </w:r>
      <w:r>
        <w:rPr>
          <w:b/>
          <w:bCs/>
          <w:iCs/>
          <w:color w:val="000000"/>
        </w:rPr>
        <w:t xml:space="preserve">                                        </w:t>
      </w:r>
      <w:r>
        <w:rPr>
          <w:b/>
          <w:bCs/>
          <w:iCs/>
          <w:color w:val="000000"/>
        </w:rPr>
      </w:r>
      <w:r/>
    </w:p>
    <w:p>
      <w:pPr>
        <w:pStyle w:val="870"/>
        <w:jc w:val="center"/>
        <w:rPr>
          <w:color w:val="000000"/>
        </w:rPr>
      </w:pPr>
      <w:r>
        <w:rPr>
          <w:b/>
          <w:bCs/>
          <w:iCs/>
          <w:color w:val="000000"/>
          <w:sz w:val="28"/>
          <w:szCs w:val="28"/>
        </w:rPr>
      </w: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870"/>
        <w:jc w:val="center"/>
        <w:rPr>
          <w:color w:val="000000"/>
        </w:rPr>
      </w:pPr>
      <w:r>
        <w:rPr>
          <w:b/>
          <w:bCs/>
          <w:iCs/>
          <w:color w:val="000000"/>
          <w:sz w:val="28"/>
          <w:szCs w:val="28"/>
        </w:rPr>
        <w:t xml:space="preserve">РОССИЙСКАЯ ФЕДЕРАЦИЯ           </w:t>
      </w: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870"/>
        <w:jc w:val="center"/>
        <w:rPr>
          <w:color w:val="000000"/>
        </w:rPr>
      </w:pPr>
      <w:r>
        <w:rPr>
          <w:b/>
          <w:bCs/>
          <w:iCs/>
          <w:color w:val="000000"/>
          <w:sz w:val="28"/>
          <w:szCs w:val="28"/>
        </w:rPr>
        <w:t xml:space="preserve">БЕЛГОРОДСКАЯ ОБЛАСТЬ</w:t>
      </w: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870"/>
        <w:jc w:val="center"/>
        <w:rPr>
          <w:color w:val="000000"/>
        </w:rPr>
      </w:pPr>
      <w:r>
        <w:rPr>
          <w:b/>
          <w:bCs/>
          <w:iCs/>
          <w:color w:val="000000"/>
          <w:sz w:val="28"/>
          <w:szCs w:val="28"/>
        </w:rPr>
      </w: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870"/>
        <w:jc w:val="center"/>
        <w:rPr>
          <w:color w:val="000000"/>
        </w:rPr>
      </w:pPr>
      <w:r>
        <w:rPr>
          <w:b/>
          <w:bCs/>
          <w:iCs/>
          <w:color w:val="000000"/>
        </w:rPr>
        <w:t xml:space="preserve">СОВЕТ ДЕПУТАТОВ</w:t>
      </w:r>
      <w:r>
        <w:rPr>
          <w:b/>
          <w:bCs/>
          <w:iCs/>
          <w:color w:val="000000"/>
        </w:rPr>
      </w:r>
      <w:r/>
    </w:p>
    <w:p>
      <w:pPr>
        <w:pStyle w:val="870"/>
        <w:jc w:val="center"/>
        <w:rPr>
          <w:color w:val="000000"/>
        </w:rPr>
      </w:pPr>
      <w:r>
        <w:rPr>
          <w:b/>
          <w:bCs/>
          <w:iCs/>
          <w:color w:val="000000"/>
        </w:rPr>
        <w:t xml:space="preserve">НОВООСКОЛЬСКОГО </w:t>
      </w:r>
      <w:r>
        <w:rPr>
          <w:b/>
          <w:bCs/>
          <w:iCs/>
          <w:color w:val="000000"/>
        </w:rPr>
        <w:t xml:space="preserve">МУНИЦИПАЛЬН</w:t>
      </w:r>
      <w:r>
        <w:rPr>
          <w:b/>
          <w:bCs/>
          <w:iCs/>
          <w:color w:val="000000"/>
        </w:rPr>
        <w:t xml:space="preserve">ОГО ОКРУГА</w:t>
      </w:r>
      <w:r>
        <w:rPr>
          <w:b/>
          <w:bCs/>
          <w:iCs/>
          <w:color w:val="000000"/>
        </w:rPr>
      </w:r>
      <w:r/>
    </w:p>
    <w:p>
      <w:pPr>
        <w:pStyle w:val="870"/>
        <w:jc w:val="center"/>
        <w:rPr>
          <w:color w:val="000000"/>
        </w:rPr>
      </w:pPr>
      <w:r>
        <w:rPr>
          <w:b/>
          <w:bCs/>
          <w:iCs/>
          <w:color w:val="000000"/>
        </w:rPr>
      </w:r>
      <w:r>
        <w:rPr>
          <w:b/>
          <w:bCs/>
          <w:iCs/>
          <w:color w:val="000000"/>
        </w:rPr>
      </w:r>
      <w:r/>
    </w:p>
    <w:p>
      <w:pPr>
        <w:pStyle w:val="870"/>
        <w:jc w:val="center"/>
        <w:rPr>
          <w:color w:val="000000"/>
        </w:rPr>
      </w:pPr>
      <w:r>
        <w:rPr>
          <w:bCs/>
          <w:iCs/>
          <w:color w:val="000000"/>
          <w:sz w:val="20"/>
          <w:szCs w:val="20"/>
        </w:rPr>
        <w:t xml:space="preserve">Сорок шестое заседание Совета депутатов Новооскольского </w:t>
      </w:r>
      <w:r>
        <w:rPr>
          <w:bCs/>
          <w:iCs/>
          <w:color w:val="000000"/>
          <w:sz w:val="20"/>
          <w:szCs w:val="20"/>
        </w:rPr>
        <w:t xml:space="preserve">муниципальн</w:t>
      </w:r>
      <w:r>
        <w:rPr>
          <w:bCs/>
          <w:iCs/>
          <w:color w:val="000000"/>
          <w:sz w:val="20"/>
          <w:szCs w:val="20"/>
        </w:rPr>
        <w:t xml:space="preserve">ого округа</w:t>
      </w:r>
      <w:r>
        <w:rPr>
          <w:bCs/>
          <w:iCs/>
          <w:color w:val="000000"/>
          <w:sz w:val="20"/>
          <w:szCs w:val="20"/>
        </w:rPr>
        <w:t xml:space="preserve"> Белгородской области </w:t>
      </w:r>
      <w:r>
        <w:rPr>
          <w:bCs/>
          <w:iCs/>
          <w:color w:val="000000"/>
          <w:sz w:val="20"/>
          <w:szCs w:val="20"/>
        </w:rPr>
        <w:t xml:space="preserve">второго</w:t>
      </w:r>
      <w:r>
        <w:rPr>
          <w:bCs/>
          <w:iCs/>
          <w:color w:val="000000"/>
          <w:sz w:val="20"/>
          <w:szCs w:val="20"/>
        </w:rPr>
        <w:t xml:space="preserve"> созыва</w:t>
      </w:r>
      <w:r>
        <w:rPr>
          <w:bCs/>
          <w:iCs/>
          <w:color w:val="000000"/>
          <w:sz w:val="20"/>
          <w:szCs w:val="20"/>
        </w:rPr>
      </w:r>
      <w:r/>
    </w:p>
    <w:p>
      <w:pPr>
        <w:pStyle w:val="870"/>
        <w:jc w:val="center"/>
        <w:rPr>
          <w:color w:val="000000"/>
        </w:rPr>
      </w:pPr>
      <w:r>
        <w:rPr>
          <w:b/>
          <w:bCs/>
          <w:iCs/>
          <w:color w:val="000000"/>
        </w:rPr>
      </w:r>
      <w:r>
        <w:rPr>
          <w:b/>
          <w:bCs/>
          <w:iCs/>
          <w:color w:val="000000"/>
        </w:rPr>
      </w:r>
      <w:r/>
    </w:p>
    <w:p>
      <w:pPr>
        <w:pStyle w:val="870"/>
        <w:jc w:val="center"/>
        <w:rPr>
          <w:color w:val="000000"/>
        </w:rPr>
      </w:pPr>
      <w:r>
        <w:rPr>
          <w:b/>
          <w:bCs/>
          <w:iCs/>
          <w:color w:val="000000"/>
          <w:sz w:val="28"/>
          <w:szCs w:val="28"/>
        </w:rPr>
        <w:t xml:space="preserve">Р Е Ш Е Н И Е</w:t>
      </w: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870"/>
        <w:jc w:val="center"/>
        <w:rPr>
          <w:color w:val="000000"/>
          <w:sz w:val="26"/>
          <w:highlight w:val="none"/>
        </w:rPr>
      </w:pPr>
      <w:r>
        <w:rPr>
          <w:bCs/>
          <w:iCs/>
          <w:color w:val="000000"/>
          <w:sz w:val="26"/>
          <w:szCs w:val="26"/>
        </w:rPr>
        <w:t xml:space="preserve">26 мая 2026  года                                                                                                         №  563</w:t>
      </w:r>
      <w:r>
        <w:rPr>
          <w:bCs/>
          <w:iCs/>
          <w:color w:val="000000"/>
          <w:sz w:val="26"/>
          <w:szCs w:val="26"/>
          <w:highlight w:val="none"/>
        </w:rPr>
      </w:r>
      <w:r>
        <w:rPr>
          <w:bCs/>
          <w:iCs/>
          <w:color w:val="000000"/>
          <w:sz w:val="26"/>
          <w:szCs w:val="26"/>
          <w:highlight w:val="none"/>
        </w:rPr>
      </w:r>
      <w:r/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tbl>
      <w:tblPr>
        <w:tblStyle w:val="859"/>
        <w:tblW w:w="8789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969"/>
      </w:tblGrid>
      <w:tr>
        <w:trPr/>
        <w:tc>
          <w:tcPr>
            <w:tcW w:w="482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внесении изменений в решение Совета депутатов Новооскольского муниципального округа Белгородской области от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18 февраля 2025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 №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313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</w:tbl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8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</w:rPr>
        <w:t xml:space="preserve">В целях дополнительной социальной поддержки участников специальной военной операции и членов их семей, руководствуясь Федеральным законом</w:t>
      </w:r>
      <w:r>
        <w:rPr>
          <w:rFonts w:ascii="Times New Roman" w:hAnsi="Times New Roman" w:cs="Times New Roman" w:eastAsia="Arial"/>
          <w:sz w:val="26"/>
          <w:szCs w:val="26"/>
        </w:rPr>
        <w:t xml:space="preserve">                   </w:t>
      </w:r>
      <w:r>
        <w:rPr>
          <w:rFonts w:ascii="Times New Roman" w:hAnsi="Times New Roman" w:cs="Times New Roman" w:eastAsia="Arial"/>
          <w:sz w:val="26"/>
          <w:szCs w:val="26"/>
        </w:rPr>
        <w:t xml:space="preserve"> от 06 октября 2003 года № 131-ФЗ «Об общих принципах организации местного самоуправления в Российской Федерации», постановлением Правительства Белгородской области от 28 декабря 2024 года № 679-пп «О реализации</w:t>
      </w:r>
      <w:r>
        <w:rPr>
          <w:rFonts w:ascii="Times New Roman" w:hAnsi="Times New Roman" w:cs="Times New Roman" w:eastAsia="Arial"/>
          <w:sz w:val="26"/>
          <w:szCs w:val="26"/>
        </w:rPr>
        <w:t xml:space="preserve"> </w:t>
      </w:r>
      <w:r>
        <w:rPr>
          <w:rFonts w:ascii="Times New Roman" w:hAnsi="Times New Roman" w:cs="Times New Roman" w:eastAsia="Arial"/>
          <w:sz w:val="26"/>
          <w:szCs w:val="26"/>
        </w:rPr>
        <w:t xml:space="preserve">в Белгородской области Единого стандарта региональных мер поддержки участников специальной военной операции и членов их семей»,</w:t>
      </w:r>
      <w:r>
        <w:rPr>
          <w:rFonts w:ascii="Times New Roman" w:hAnsi="Times New Roman" w:cs="Times New Roman" w:eastAsia="Arial"/>
          <w:sz w:val="26"/>
          <w:szCs w:val="26"/>
        </w:rPr>
        <w:t xml:space="preserve"> </w:t>
      </w:r>
      <w:hyperlink r:id="rId13" w:tooltip="https://login.consultant.ru/link/?req=doc&amp;base=RLAW072&amp;n=188283&amp;date=18.07.2024" w:history="1">
        <w:r>
          <w:rPr>
            <w:rFonts w:ascii="Times New Roman" w:hAnsi="Times New Roman" w:cs="Times New Roman" w:eastAsia="Times New Roman"/>
            <w:color w:val="000000"/>
            <w:sz w:val="26"/>
            <w:szCs w:val="26"/>
          </w:rPr>
          <w:t xml:space="preserve">Уставом</w:t>
        </w:r>
      </w:hyperlink>
      <w:r>
        <w:rPr>
          <w:rFonts w:ascii="Times New Roman" w:hAnsi="Times New Roman" w:cs="Times New Roman" w:eastAsia="Arial"/>
          <w:sz w:val="26"/>
          <w:szCs w:val="26"/>
        </w:rPr>
        <w:t xml:space="preserve"> Новооскольского муниципального округа Белгородской области</w:t>
      </w:r>
      <w:r>
        <w:rPr>
          <w:rFonts w:ascii="Times New Roman" w:hAnsi="Times New Roman" w:cs="Times New Roman" w:eastAsia="Arial"/>
          <w:sz w:val="26"/>
          <w:szCs w:val="28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Совет депутатов Новооскольского муниципального округа Белгородской области р е ш и л</w:t>
      </w:r>
      <w:r>
        <w:rPr>
          <w:rFonts w:ascii="Times New Roman" w:hAnsi="Times New Roman" w:cs="Times New Roman"/>
          <w:b/>
          <w:sz w:val="26"/>
          <w:szCs w:val="26"/>
        </w:rPr>
        <w:t xml:space="preserve">:</w:t>
      </w:r>
      <w:r>
        <w:rPr>
          <w:sz w:val="26"/>
        </w:rPr>
      </w:r>
    </w:p>
    <w:p>
      <w:pPr>
        <w:pStyle w:val="858"/>
        <w:numPr>
          <w:ilvl w:val="0"/>
          <w:numId w:val="3"/>
        </w:num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</w:t>
      </w:r>
      <w:r>
        <w:rPr>
          <w:rFonts w:ascii="Times New Roman" w:hAnsi="Times New Roman" w:cs="Times New Roman"/>
          <w:sz w:val="26"/>
          <w:szCs w:val="26"/>
        </w:rPr>
        <w:t xml:space="preserve">нести</w:t>
      </w:r>
      <w:r>
        <w:rPr>
          <w:rFonts w:ascii="Times New Roman" w:hAnsi="Times New Roman" w:cs="Times New Roman"/>
          <w:sz w:val="26"/>
          <w:szCs w:val="26"/>
        </w:rPr>
        <w:t xml:space="preserve"> в решение</w:t>
      </w:r>
      <w:r>
        <w:rPr>
          <w:rFonts w:ascii="Times New Roman" w:hAnsi="Times New Roman" w:cs="Times New Roman"/>
          <w:sz w:val="26"/>
          <w:szCs w:val="26"/>
        </w:rPr>
        <w:t xml:space="preserve"> Совета депутатов Новооскольского муниципального округа Белгородской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 xml:space="preserve">18 февраля 2025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 xml:space="preserve">313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Об утверждении Порядка предоставления льготного горячего питания детям участников специальной военной операции, обучающимся в 1-11 классах муниципальных образовательных организаций Новооскольского муниципального округа Белгородской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(в том числе в случае гибели (смерти) участников специальной военной операции)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 xml:space="preserve">следующие изменения:</w:t>
      </w:r>
      <w:r>
        <w:rPr>
          <w:sz w:val="26"/>
        </w:rPr>
      </w:r>
    </w:p>
    <w:p>
      <w:pPr>
        <w:pStyle w:val="858"/>
        <w:ind w:left="851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1.1</w:t>
      </w:r>
      <w:r>
        <w:rPr>
          <w:rFonts w:ascii="Times New Roman" w:hAnsi="Times New Roman" w:cs="Times New Roman"/>
          <w:sz w:val="26"/>
          <w:szCs w:val="26"/>
        </w:rPr>
        <w:t xml:space="preserve">. В Порядке:</w:t>
      </w:r>
      <w:r>
        <w:rPr>
          <w:sz w:val="26"/>
        </w:rPr>
      </w:r>
    </w:p>
    <w:p>
      <w:pPr>
        <w:pStyle w:val="858"/>
        <w:numPr>
          <w:ilvl w:val="0"/>
          <w:numId w:val="6"/>
        </w:numPr>
        <w:ind w:left="0" w:right="0" w:firstLine="10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пункт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1.</w:t>
      </w:r>
      <w:r>
        <w:rPr>
          <w:rFonts w:ascii="Times New Roman" w:hAnsi="Times New Roman" w:cs="Times New Roman"/>
          <w:sz w:val="26"/>
          <w:szCs w:val="26"/>
        </w:rPr>
        <w:t xml:space="preserve">7</w:t>
      </w:r>
      <w:r>
        <w:rPr>
          <w:rFonts w:ascii="Times New Roman" w:hAnsi="Times New Roman" w:cs="Times New Roman"/>
          <w:sz w:val="26"/>
          <w:szCs w:val="26"/>
        </w:rPr>
        <w:t xml:space="preserve"> раздела 1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Общие положения»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</w:t>
      </w:r>
      <w:r>
        <w:rPr>
          <w:rFonts w:ascii="Times New Roman" w:hAnsi="Times New Roman" w:cs="Times New Roman" w:eastAsia="Arial"/>
          <w:sz w:val="26"/>
          <w:szCs w:val="26"/>
        </w:rPr>
        <w:t xml:space="preserve">: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</w:rPr>
        <w:t xml:space="preserve">«</w:t>
      </w:r>
      <w:r>
        <w:rPr>
          <w:rFonts w:ascii="Times New Roman" w:hAnsi="Times New Roman" w:cs="Times New Roman" w:eastAsia="Arial"/>
          <w:sz w:val="26"/>
          <w:szCs w:val="26"/>
        </w:rPr>
        <w:t xml:space="preserve">1.7. Размер стоимости бесплатного горячего питания составляет 78 (семьдесят восемь) рублей 00 копеек на 1 (одного) обучающегося на 1 (один) учебный день.»;</w:t>
      </w:r>
      <w:r>
        <w:rPr>
          <w:sz w:val="26"/>
        </w:rPr>
      </w:r>
    </w:p>
    <w:p>
      <w:pPr>
        <w:pStyle w:val="697"/>
        <w:numPr>
          <w:ilvl w:val="0"/>
          <w:numId w:val="10"/>
        </w:numPr>
        <w:ind w:left="0" w:right="0" w:firstLine="992"/>
        <w:jc w:val="both"/>
        <w:spacing w:lineRule="auto" w:line="240" w:after="0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пункт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 раздела </w:t>
      </w:r>
      <w:r>
        <w:rPr>
          <w:rFonts w:ascii="Times New Roman" w:hAnsi="Times New Roman" w:cs="Times New Roman"/>
          <w:sz w:val="26"/>
          <w:szCs w:val="26"/>
        </w:rPr>
        <w:t xml:space="preserve">2 «Порядок предоставления льготного горячего питания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</w:t>
      </w:r>
      <w:r>
        <w:rPr>
          <w:rFonts w:ascii="Times New Roman" w:hAnsi="Times New Roman" w:cs="Times New Roman" w:eastAsia="Arial"/>
          <w:sz w:val="26"/>
          <w:szCs w:val="26"/>
        </w:rPr>
        <w:t xml:space="preserve">:</w:t>
      </w:r>
      <w:r>
        <w:rPr>
          <w:sz w:val="26"/>
        </w:rPr>
      </w:r>
    </w:p>
    <w:p>
      <w:pPr>
        <w:pStyle w:val="858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</w:rPr>
        <w:t xml:space="preserve">«2.1. Для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предоставления льготного горячего питания детям участников специальной военной операции, обучающимся в 1-11 классах муниципальных образовательных организаций Новооскольского муниципального округа Белгородской </w:t>
      </w:r>
      <w:r>
        <w:rPr>
          <w:rFonts w:ascii="Times New Roman" w:hAnsi="Times New Roman" w:cs="Times New Roman"/>
          <w:sz w:val="26"/>
          <w:szCs w:val="26"/>
        </w:rPr>
        <w:t xml:space="preserve">области</w:t>
      </w:r>
      <w:r>
        <w:rPr>
          <w:rFonts w:ascii="Times New Roman" w:hAnsi="Times New Roman" w:cs="Times New Roman"/>
          <w:sz w:val="26"/>
          <w:szCs w:val="26"/>
        </w:rPr>
        <w:t xml:space="preserve">  (</w:t>
      </w:r>
      <w:r>
        <w:rPr>
          <w:rFonts w:ascii="Times New Roman" w:hAnsi="Times New Roman" w:cs="Times New Roman"/>
          <w:sz w:val="26"/>
          <w:szCs w:val="26"/>
        </w:rPr>
        <w:t xml:space="preserve">в том числе в случае гибели (смерти) участников специальной военной операции), один из родителей (законных представителей) обучающегося представляет в образовательную организацию следующие документы:</w:t>
      </w:r>
      <w:r>
        <w:rPr>
          <w:sz w:val="26"/>
        </w:rPr>
      </w:r>
    </w:p>
    <w:p>
      <w:pPr>
        <w:pStyle w:val="858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заявление на получение бесплатного горячего питания;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2</w:t>
      </w:r>
      <w:r>
        <w:rPr>
          <w:rFonts w:ascii="Times New Roman" w:hAnsi="Times New Roman" w:cs="Times New Roman" w:eastAsia="Calibri"/>
          <w:sz w:val="26"/>
          <w:szCs w:val="26"/>
        </w:rPr>
        <w:t xml:space="preserve">) документ, удостоверяющий личность заявителя; 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3</w:t>
      </w:r>
      <w:r>
        <w:rPr>
          <w:rFonts w:ascii="Times New Roman" w:hAnsi="Times New Roman" w:cs="Times New Roman" w:eastAsia="Calibri"/>
          <w:sz w:val="26"/>
          <w:szCs w:val="26"/>
        </w:rPr>
        <w:t xml:space="preserve">) документ, подтверждающий родство ребенка с участником специальной военной операции (свидетельство о рождении ребенка, свидетельство об усыновлении (удочерении) ребенка, свидетельство об у</w:t>
      </w:r>
      <w:r>
        <w:rPr>
          <w:rFonts w:ascii="Times New Roman" w:hAnsi="Times New Roman" w:cs="Times New Roman" w:eastAsia="Calibri"/>
          <w:sz w:val="26"/>
          <w:szCs w:val="26"/>
        </w:rPr>
        <w:t xml:space="preserve">становлении отцовства в отношении ребенка). В случае выдачи данного документа компетентными органами иностранного государства также предоставляется его перевод на русский язык, нотариально заверенный в соответствии с законодательством Российской Федерации;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4</w:t>
      </w:r>
      <w:r>
        <w:rPr>
          <w:rFonts w:ascii="Times New Roman" w:hAnsi="Times New Roman" w:cs="Times New Roman" w:eastAsia="Calibri"/>
          <w:sz w:val="26"/>
          <w:szCs w:val="26"/>
        </w:rPr>
        <w:t xml:space="preserve">) документ, подтверждающий статус законного представителя (опекунское удостоверение, решение органа опеки и попечительства</w:t>
      </w:r>
      <w:r>
        <w:rPr>
          <w:rFonts w:ascii="Times New Roman" w:hAnsi="Times New Roman" w:cs="Times New Roman" w:eastAsia="Calibri"/>
          <w:sz w:val="26"/>
          <w:szCs w:val="26"/>
        </w:rPr>
        <w:t xml:space="preserve"> </w:t>
      </w:r>
      <w:r>
        <w:rPr>
          <w:rFonts w:ascii="Times New Roman" w:hAnsi="Times New Roman" w:cs="Times New Roman" w:eastAsia="Calibri"/>
          <w:sz w:val="26"/>
          <w:szCs w:val="26"/>
        </w:rPr>
        <w:t xml:space="preserve">о назначении опеки и</w:t>
      </w:r>
      <w:r>
        <w:rPr>
          <w:rFonts w:ascii="Times New Roman" w:hAnsi="Times New Roman" w:cs="Times New Roman" w:eastAsia="Calibri"/>
          <w:sz w:val="26"/>
          <w:szCs w:val="26"/>
        </w:rPr>
        <w:t xml:space="preserve">ли попечительства над ребенком);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5</w:t>
      </w:r>
      <w:r>
        <w:rPr>
          <w:rFonts w:ascii="Times New Roman" w:hAnsi="Times New Roman" w:cs="Times New Roman" w:eastAsia="Calibri"/>
          <w:sz w:val="26"/>
          <w:szCs w:val="26"/>
        </w:rPr>
        <w:t xml:space="preserve">) согласие на обработку персональных данных. </w:t>
      </w:r>
      <w:r>
        <w:rPr>
          <w:sz w:val="26"/>
        </w:rPr>
      </w:r>
    </w:p>
    <w:p>
      <w:pPr>
        <w:pStyle w:val="858"/>
        <w:ind w:firstLine="851"/>
        <w:jc w:val="both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Перечень документов, кото</w:t>
      </w:r>
      <w:bookmarkStart w:id="0" w:name="_GoBack"/>
      <w:r>
        <w:rPr>
          <w:sz w:val="26"/>
        </w:rPr>
      </w:r>
      <w:bookmarkEnd w:id="0"/>
      <w:r>
        <w:rPr>
          <w:rFonts w:ascii="Times New Roman" w:hAnsi="Times New Roman" w:cs="Times New Roman" w:eastAsia="Calibri"/>
          <w:sz w:val="26"/>
          <w:szCs w:val="26"/>
        </w:rPr>
        <w:t xml:space="preserve">рые заявитель вправе предоставить по собственной инициативе, так как они подлежат предоставлению в рамках межведомственного информационного взаимодействия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: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1) </w:t>
      </w:r>
      <w:r>
        <w:rPr>
          <w:rFonts w:ascii="Times New Roman" w:hAnsi="Times New Roman" w:cs="Times New Roman" w:eastAsia="Calibri"/>
          <w:sz w:val="26"/>
          <w:szCs w:val="26"/>
        </w:rPr>
        <w:t xml:space="preserve">д</w:t>
      </w:r>
      <w:r>
        <w:rPr>
          <w:rFonts w:ascii="Times New Roman" w:hAnsi="Times New Roman" w:cs="Times New Roman" w:eastAsia="Calibri"/>
          <w:sz w:val="26"/>
          <w:szCs w:val="26"/>
        </w:rPr>
        <w:t xml:space="preserve">окумент</w:t>
      </w:r>
      <w:r>
        <w:rPr>
          <w:rFonts w:ascii="Times New Roman" w:hAnsi="Times New Roman" w:cs="Times New Roman" w:eastAsia="Calibri"/>
          <w:sz w:val="26"/>
          <w:szCs w:val="26"/>
        </w:rPr>
        <w:t xml:space="preserve">, подтверждающие участие</w:t>
      </w:r>
      <w:r>
        <w:rPr>
          <w:rFonts w:ascii="Times New Roman" w:hAnsi="Times New Roman" w:cs="Times New Roman" w:eastAsia="Calibri"/>
          <w:sz w:val="26"/>
          <w:szCs w:val="26"/>
        </w:rPr>
        <w:t xml:space="preserve"> одного из родителей</w:t>
      </w:r>
      <w:r>
        <w:rPr>
          <w:rFonts w:ascii="Times New Roman" w:hAnsi="Times New Roman" w:cs="Times New Roman" w:eastAsia="Calibri"/>
          <w:sz w:val="26"/>
          <w:szCs w:val="26"/>
        </w:rPr>
        <w:t xml:space="preserve"> </w:t>
      </w:r>
      <w:r>
        <w:rPr>
          <w:rFonts w:ascii="Times New Roman" w:hAnsi="Times New Roman" w:cs="Times New Roman" w:eastAsia="Calibri"/>
          <w:sz w:val="26"/>
          <w:szCs w:val="26"/>
        </w:rPr>
        <w:t xml:space="preserve">(законных представителей) </w:t>
      </w:r>
      <w:r>
        <w:rPr>
          <w:rFonts w:ascii="Times New Roman" w:hAnsi="Times New Roman" w:cs="Times New Roman" w:eastAsia="Calibri"/>
          <w:sz w:val="26"/>
          <w:szCs w:val="26"/>
        </w:rPr>
        <w:t xml:space="preserve">в специальной военной операции</w:t>
      </w:r>
      <w:r>
        <w:rPr>
          <w:rFonts w:ascii="Times New Roman" w:hAnsi="Times New Roman" w:cs="Times New Roman" w:eastAsia="Calibri"/>
          <w:sz w:val="26"/>
          <w:szCs w:val="26"/>
        </w:rPr>
        <w:t xml:space="preserve">. 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К документам, подтверждающим участие в специальной военной операции, относятся</w:t>
      </w:r>
      <w:r>
        <w:rPr>
          <w:rFonts w:ascii="Times New Roman" w:hAnsi="Times New Roman" w:cs="Times New Roman" w:eastAsia="Calibri"/>
          <w:sz w:val="26"/>
          <w:szCs w:val="26"/>
        </w:rPr>
        <w:t xml:space="preserve">: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- справка о подтверждении факта участия в специальной военной операции на территориях Украины, Донецкой Народной Республики, Лу</w:t>
      </w:r>
      <w:r>
        <w:rPr>
          <w:rFonts w:ascii="Times New Roman" w:hAnsi="Times New Roman" w:cs="Times New Roman" w:eastAsia="Calibri"/>
          <w:sz w:val="26"/>
          <w:szCs w:val="26"/>
        </w:rPr>
        <w:t xml:space="preserve">ганской Народной Республики, Запорожской области и Херсонской области, выдаваемая федеральными органами исполнительной власти, федеральными государственными органами в соответствии с Постановлением Правительства Российской Федерации от 9 октября 2024 года </w:t>
      </w:r>
      <w:r>
        <w:rPr>
          <w:rFonts w:ascii="Times New Roman" w:hAnsi="Times New Roman" w:cs="Times New Roman" w:eastAsia="Calibri"/>
          <w:sz w:val="26"/>
          <w:szCs w:val="26"/>
        </w:rPr>
        <w:t xml:space="preserve">№</w:t>
      </w:r>
      <w:r>
        <w:rPr>
          <w:rFonts w:ascii="Times New Roman" w:hAnsi="Times New Roman" w:cs="Times New Roman" w:eastAsia="Calibri"/>
          <w:sz w:val="26"/>
          <w:szCs w:val="26"/>
        </w:rPr>
        <w:t xml:space="preserve"> 1354 </w:t>
      </w:r>
      <w:r>
        <w:rPr>
          <w:rFonts w:ascii="Times New Roman" w:hAnsi="Times New Roman" w:cs="Times New Roman" w:eastAsia="Calibri"/>
          <w:sz w:val="26"/>
          <w:szCs w:val="26"/>
        </w:rPr>
        <w:t xml:space="preserve">«</w:t>
      </w:r>
      <w:r>
        <w:rPr>
          <w:rFonts w:ascii="Times New Roman" w:hAnsi="Times New Roman" w:cs="Times New Roman" w:eastAsia="Calibri"/>
          <w:sz w:val="26"/>
          <w:szCs w:val="26"/>
        </w:rPr>
        <w:t xml:space="preserve">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</w:r>
      <w:r>
        <w:rPr>
          <w:rFonts w:ascii="Times New Roman" w:hAnsi="Times New Roman" w:cs="Times New Roman" w:eastAsia="Calibri"/>
          <w:sz w:val="26"/>
          <w:szCs w:val="26"/>
        </w:rPr>
        <w:t xml:space="preserve">»</w:t>
      </w:r>
      <w:r>
        <w:rPr>
          <w:rFonts w:ascii="Times New Roman" w:hAnsi="Times New Roman" w:cs="Times New Roman" w:eastAsia="Calibri"/>
          <w:sz w:val="26"/>
          <w:szCs w:val="26"/>
        </w:rPr>
        <w:t xml:space="preserve">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- выписка из приказа военного комиссариата о призыве на военную службу по мобилизации в Вооруженные Силы Российской Федерации;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- уведомление федерального органа исполнительной власти о заключении               с лицом контракта о прохождении военной службы в соответствии с пунктом 7 </w:t>
      </w:r>
      <w:r>
        <w:rPr>
          <w:rFonts w:ascii="Times New Roman" w:hAnsi="Times New Roman" w:cs="Times New Roman" w:eastAsia="Calibri"/>
          <w:sz w:val="26"/>
          <w:szCs w:val="26"/>
        </w:rPr>
        <w:t xml:space="preserve">                     </w:t>
      </w:r>
      <w:r>
        <w:rPr>
          <w:rFonts w:ascii="Times New Roman" w:hAnsi="Times New Roman" w:cs="Times New Roman" w:eastAsia="Calibri"/>
          <w:sz w:val="26"/>
          <w:szCs w:val="26"/>
        </w:rPr>
        <w:t xml:space="preserve">статьи 38 Федерального закона от 28 марта 1998 года </w:t>
      </w:r>
      <w:r>
        <w:rPr>
          <w:rFonts w:ascii="Times New Roman" w:hAnsi="Times New Roman" w:cs="Times New Roman" w:eastAsia="Calibri"/>
          <w:sz w:val="26"/>
          <w:szCs w:val="26"/>
        </w:rPr>
        <w:t xml:space="preserve">№</w:t>
      </w:r>
      <w:r>
        <w:rPr>
          <w:rFonts w:ascii="Times New Roman" w:hAnsi="Times New Roman" w:cs="Times New Roman" w:eastAsia="Calibri"/>
          <w:sz w:val="26"/>
          <w:szCs w:val="26"/>
        </w:rPr>
        <w:t xml:space="preserve"> 53-ФЗ </w:t>
      </w:r>
      <w:r>
        <w:rPr>
          <w:rFonts w:ascii="Times New Roman" w:hAnsi="Times New Roman" w:cs="Times New Roman" w:eastAsia="Calibri"/>
          <w:sz w:val="26"/>
          <w:szCs w:val="26"/>
        </w:rPr>
        <w:t xml:space="preserve">«</w:t>
      </w:r>
      <w:r>
        <w:rPr>
          <w:rFonts w:ascii="Times New Roman" w:hAnsi="Times New Roman" w:cs="Times New Roman" w:eastAsia="Calibri"/>
          <w:sz w:val="26"/>
          <w:szCs w:val="26"/>
        </w:rPr>
        <w:t xml:space="preserve">О воинской обязанности и военной службе</w:t>
      </w:r>
      <w:r>
        <w:rPr>
          <w:rFonts w:ascii="Times New Roman" w:hAnsi="Times New Roman" w:cs="Times New Roman" w:eastAsia="Calibri"/>
          <w:sz w:val="26"/>
          <w:szCs w:val="26"/>
        </w:rPr>
        <w:t xml:space="preserve">»</w:t>
      </w:r>
      <w:r>
        <w:rPr>
          <w:rFonts w:ascii="Times New Roman" w:hAnsi="Times New Roman" w:cs="Times New Roman" w:eastAsia="Calibri"/>
          <w:sz w:val="26"/>
          <w:szCs w:val="26"/>
        </w:rPr>
        <w:t xml:space="preserve">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- копия контракта, заключенного в соответствии с пунктом 7 статьи 38 Федерального закона от 28 марта 1998 года </w:t>
      </w:r>
      <w:r>
        <w:rPr>
          <w:rFonts w:ascii="Times New Roman" w:hAnsi="Times New Roman" w:cs="Times New Roman" w:eastAsia="Calibri"/>
          <w:sz w:val="26"/>
          <w:szCs w:val="26"/>
        </w:rPr>
        <w:t xml:space="preserve">№</w:t>
      </w:r>
      <w:r>
        <w:rPr>
          <w:rFonts w:ascii="Times New Roman" w:hAnsi="Times New Roman" w:cs="Times New Roman" w:eastAsia="Calibri"/>
          <w:sz w:val="26"/>
          <w:szCs w:val="26"/>
        </w:rPr>
        <w:t xml:space="preserve"> 53-ФЗ </w:t>
      </w:r>
      <w:r>
        <w:rPr>
          <w:rFonts w:ascii="Times New Roman" w:hAnsi="Times New Roman" w:cs="Times New Roman" w:eastAsia="Calibri"/>
          <w:sz w:val="26"/>
          <w:szCs w:val="26"/>
        </w:rPr>
        <w:t xml:space="preserve">«</w:t>
      </w:r>
      <w:r>
        <w:rPr>
          <w:rFonts w:ascii="Times New Roman" w:hAnsi="Times New Roman" w:cs="Times New Roman" w:eastAsia="Calibri"/>
          <w:sz w:val="26"/>
          <w:szCs w:val="26"/>
        </w:rPr>
        <w:t xml:space="preserve">О воинской обязанности и военной службе</w:t>
      </w:r>
      <w:r>
        <w:rPr>
          <w:rFonts w:ascii="Times New Roman" w:hAnsi="Times New Roman" w:cs="Times New Roman" w:eastAsia="Calibri"/>
          <w:sz w:val="26"/>
          <w:szCs w:val="26"/>
        </w:rPr>
        <w:t xml:space="preserve">»</w:t>
      </w:r>
      <w:r>
        <w:rPr>
          <w:rFonts w:ascii="Times New Roman" w:hAnsi="Times New Roman" w:cs="Times New Roman" w:eastAsia="Calibri"/>
          <w:sz w:val="26"/>
          <w:szCs w:val="26"/>
        </w:rPr>
        <w:t xml:space="preserve">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- копия (оригинал) контракта о добровольном содействии в выполнении задач, возложенных на Вооруженные Силы Российской Федерации;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- запись в военном билете;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-</w:t>
      </w:r>
      <w:r>
        <w:rPr>
          <w:rFonts w:ascii="Times New Roman" w:hAnsi="Times New Roman" w:cs="Times New Roman" w:eastAsia="Calibri"/>
          <w:sz w:val="26"/>
          <w:szCs w:val="26"/>
        </w:rPr>
        <w:t xml:space="preserve"> </w:t>
      </w:r>
      <w:r>
        <w:rPr>
          <w:rFonts w:ascii="Times New Roman" w:hAnsi="Times New Roman" w:cs="Times New Roman" w:eastAsia="Calibri"/>
          <w:sz w:val="26"/>
          <w:szCs w:val="26"/>
        </w:rPr>
        <w:t xml:space="preserve">копия контракта о прохождении военной службы гражданином                                в Вооруженных Силах Российской Федерации, подтверждающего даты или периоды участия гражданина в специальной военной операции;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- медицинские справки и выписки из истории болезни, подтверждающие даты или периоды участия гражданина в специальной военной операции (выполнении боевых задач)</w:t>
      </w:r>
      <w:r>
        <w:rPr>
          <w:rFonts w:ascii="Times New Roman" w:hAnsi="Times New Roman" w:cs="Times New Roman" w:eastAsia="Calibri"/>
          <w:sz w:val="26"/>
          <w:szCs w:val="26"/>
        </w:rPr>
        <w:t xml:space="preserve">.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2) документ о смерти участника специальной военной операции (предоставляется в случае смерти (гибели) участника специа</w:t>
      </w:r>
      <w:r>
        <w:rPr>
          <w:rFonts w:ascii="Times New Roman" w:hAnsi="Times New Roman" w:cs="Times New Roman" w:eastAsia="Calibri"/>
          <w:sz w:val="26"/>
          <w:szCs w:val="26"/>
        </w:rPr>
        <w:t xml:space="preserve">льной военной операции при выполнении задач специальной военной операции либо смерти позднее указанного периода вследствие увечья (ранения, травмы, контузии) или заболевания, полученных при выполнении задач в ходе проведения специальной военной операции); 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3) докуме</w:t>
      </w:r>
      <w:r>
        <w:rPr>
          <w:rFonts w:ascii="Times New Roman" w:hAnsi="Times New Roman" w:cs="Times New Roman" w:eastAsia="Calibri"/>
          <w:sz w:val="26"/>
          <w:szCs w:val="26"/>
        </w:rPr>
        <w:t xml:space="preserve">нт, подтверждающий смерть (гибель) участника специальной военной операции при выполнении задач специальной военной операции (предоставляется в случае смерти (гибели) участника специальной военной операции при выполнении задач специальной военной операции);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4) документ, подтверждающий смерть участника специальной военной операции вследствие увечья (ранения, травмы, контузии) или заболевания, полученных при выполнении задач в ходе</w:t>
      </w:r>
      <w:r>
        <w:rPr>
          <w:rFonts w:ascii="Times New Roman" w:hAnsi="Times New Roman" w:cs="Times New Roman" w:eastAsia="Calibri"/>
          <w:sz w:val="26"/>
          <w:szCs w:val="26"/>
        </w:rPr>
        <w:t xml:space="preserve"> проведения специальной военной операции (предоставляется в случае смерти участника специальной военной операции вследствие увечья (ранения, травмы, контузии) или заболевания, полученных при выполнении задач в ходе проведения специальной военной операции).</w:t>
      </w:r>
      <w:r>
        <w:rPr>
          <w:sz w:val="26"/>
        </w:rPr>
      </w:r>
    </w:p>
    <w:p>
      <w:pPr>
        <w:pStyle w:val="858"/>
        <w:ind w:firstLine="851"/>
        <w:jc w:val="both"/>
        <w:rPr>
          <w:rFonts w:ascii="Times New Roman" w:hAnsi="Times New Roman" w:cs="Times New Roman" w:eastAsia="Arial"/>
          <w:color w:val="000000"/>
          <w:sz w:val="26"/>
          <w:szCs w:val="26"/>
        </w:rPr>
      </w:pP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При предоставлении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 меры поддержки исключается запрос у граждан документов на бумажном носителе, в случае если сведения, содержащиеся в таких документах, доступны в электронном виде и могут быть получены с использованием системы межведомственного электронного взаимодействия.</w:t>
      </w:r>
      <w:r>
        <w:rPr>
          <w:sz w:val="26"/>
        </w:rPr>
      </w:r>
    </w:p>
    <w:p>
      <w:pPr>
        <w:pStyle w:val="858"/>
        <w:ind w:firstLine="851"/>
        <w:jc w:val="both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Заявитель несет ответственность в соответствии с законодательством Российской Федерации за достоверность сведений, содержащихся </w:t>
      </w:r>
      <w:r>
        <w:rPr>
          <w:rFonts w:ascii="Times New Roman" w:hAnsi="Times New Roman" w:cs="Times New Roman" w:eastAsia="Calibri"/>
          <w:sz w:val="26"/>
          <w:szCs w:val="26"/>
        </w:rPr>
        <w:br/>
        <w:t xml:space="preserve">в представляемых им документах.</w:t>
      </w:r>
      <w:r>
        <w:rPr>
          <w:rFonts w:ascii="Times New Roman" w:hAnsi="Times New Roman" w:cs="Times New Roman" w:eastAsia="Calibri"/>
          <w:sz w:val="26"/>
          <w:szCs w:val="26"/>
        </w:rPr>
        <w:t xml:space="preserve">».</w:t>
      </w:r>
      <w:r>
        <w:rPr>
          <w:sz w:val="26"/>
        </w:rPr>
      </w:r>
    </w:p>
    <w:p>
      <w:pPr>
        <w:pStyle w:val="858"/>
        <w:ind w:firstLine="851"/>
        <w:jc w:val="both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. Пункт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2.3</w:t>
      </w:r>
      <w:r>
        <w:rPr>
          <w:rFonts w:ascii="Times New Roman" w:hAnsi="Times New Roman" w:cs="Times New Roman"/>
          <w:sz w:val="26"/>
          <w:szCs w:val="26"/>
        </w:rPr>
        <w:t xml:space="preserve"> раздела </w:t>
      </w:r>
      <w:r>
        <w:rPr>
          <w:rFonts w:ascii="Times New Roman" w:hAnsi="Times New Roman" w:cs="Times New Roman"/>
          <w:sz w:val="26"/>
          <w:szCs w:val="26"/>
        </w:rPr>
        <w:t xml:space="preserve">2 «Порядок предоставления льготного горячего питания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 Порядка</w:t>
      </w:r>
      <w:r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</w:t>
      </w:r>
      <w:r>
        <w:rPr>
          <w:rFonts w:ascii="Times New Roman" w:hAnsi="Times New Roman" w:cs="Times New Roman" w:eastAsia="Arial"/>
          <w:sz w:val="26"/>
          <w:szCs w:val="26"/>
        </w:rPr>
        <w:t xml:space="preserve">:</w:t>
      </w:r>
      <w:r>
        <w:rPr>
          <w:sz w:val="26"/>
        </w:rPr>
      </w:r>
    </w:p>
    <w:p>
      <w:pPr>
        <w:pStyle w:val="858"/>
        <w:ind w:firstLine="851"/>
        <w:jc w:val="both"/>
        <w:rPr>
          <w:rFonts w:ascii="Times New Roman" w:hAnsi="Times New Roman" w:cs="Times New Roman" w:eastAsia="Arial"/>
          <w:color w:val="000000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«</w:t>
      </w:r>
      <w:r>
        <w:rPr>
          <w:rFonts w:ascii="Times New Roman" w:hAnsi="Times New Roman" w:cs="Times New Roman" w:eastAsia="Calibri"/>
          <w:sz w:val="26"/>
          <w:szCs w:val="26"/>
        </w:rPr>
        <w:t xml:space="preserve">2.</w:t>
      </w:r>
      <w:r>
        <w:rPr>
          <w:rFonts w:ascii="Times New Roman" w:hAnsi="Times New Roman" w:cs="Times New Roman" w:eastAsia="Calibri"/>
          <w:sz w:val="26"/>
          <w:szCs w:val="26"/>
        </w:rPr>
        <w:t xml:space="preserve">3</w:t>
      </w:r>
      <w:r>
        <w:rPr>
          <w:rFonts w:ascii="Times New Roman" w:hAnsi="Times New Roman" w:cs="Times New Roman" w:eastAsia="Calibri"/>
          <w:sz w:val="26"/>
          <w:szCs w:val="26"/>
        </w:rPr>
        <w:t xml:space="preserve">. </w:t>
      </w:r>
      <w:r>
        <w:rPr>
          <w:rFonts w:ascii="Times New Roman" w:hAnsi="Times New Roman" w:cs="Times New Roman" w:eastAsia="Arial"/>
          <w:sz w:val="26"/>
          <w:szCs w:val="26"/>
          <w:lang w:eastAsia="ru-RU"/>
        </w:rPr>
        <w:t xml:space="preserve">Мера поддержки может быть предоставлена в электронном формате через 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федеральную государственную информационную систему «Единый портал государственных и муниципальных услуг (функций)» (далее - ЕПГУ). 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Заявителями 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выступают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родители (законные представители) детей</w:t>
      </w:r>
      <w:r>
        <w:rPr>
          <w:rFonts w:ascii="Times New Roman" w:hAnsi="Times New Roman" w:cs="Times New Roman"/>
          <w:sz w:val="26"/>
          <w:szCs w:val="26"/>
        </w:rPr>
        <w:t xml:space="preserve"> участников специальной военной операции, обучающихся в 1-11 классах муниципальных образовательных организаций Новооскольского муниципального округа Белгородской области.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color w:val="000000"/>
          <w:sz w:val="26"/>
          <w:szCs w:val="26"/>
        </w:rPr>
      </w:pP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В случае если сведения об участии гражданина в специальной военной операции не подтверждаются в электронном виде, ответственный специалист в течение 1 рабочего дня дополнительно уточняет информацию у заявителя.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color w:val="000000"/>
          <w:sz w:val="26"/>
          <w:szCs w:val="26"/>
        </w:rPr>
      </w:pP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Для корректной работы межведомственных запросов к витрине данных Министерства обороны 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Р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оссийской Федерации (далее – ВД МО РФ) ответственный специалист направляет запрос к ВД МО РФ о наличии сведений об участнике специальной военной операции.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color w:val="000000"/>
          <w:sz w:val="26"/>
          <w:szCs w:val="26"/>
        </w:rPr>
      </w:pP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Мера поддержки может предоставляться в упреждающем (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проактивном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) режиме в случае поступления в уполномоченный орган сведений о наличии оснований 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для ее предоставления. Информирование гражданина о факте применения меры социальн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ой поддержки или о праве на ее получение обеспечивается с использованием государственной электронной почтовой системы на ЕПГУ. Либо после формирования перечня принимается решение о направлении уведомления о праве на меру социальной поддержки со ссылкой на 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предзаполненное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 заявление на ЕПГУ.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  <w:lang w:eastAsia="ru-RU"/>
        </w:rPr>
        <w:t xml:space="preserve">Сведениями о наличии оснований для предоставления меры поддержки является базовый перечень потенциальных получателей, который представляет собой совокупность следующих данных: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  <w:lang w:eastAsia="ru-RU"/>
        </w:rPr>
        <w:t xml:space="preserve">- сведения регионального органа, отвечающего за обеспечение региональных выплат за заключение контракта на прохождение воинской службы;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  <w:lang w:eastAsia="ru-RU"/>
        </w:rPr>
        <w:t xml:space="preserve">- сведения военного комиссариата (при наличии соглашений                               об информационном обмене с военными комиссариатами);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  <w:lang w:eastAsia="ru-RU"/>
        </w:rPr>
        <w:t xml:space="preserve">- сведения филиала фонда «Защитники Отечества» Белгородской области.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  <w:lang w:eastAsia="ru-RU"/>
        </w:rPr>
        <w:t xml:space="preserve">Целевая категория получателей меры поддержки включает в себя совокупность признаков заявителя: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  <w:lang w:eastAsia="ru-RU"/>
        </w:rPr>
        <w:t xml:space="preserve">- подтверждение факта участия в СВО;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  <w:lang w:eastAsia="ru-RU"/>
        </w:rPr>
        <w:t xml:space="preserve">- подтверждение наличия детей соответствующего возраста;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  <w:lang w:eastAsia="ru-RU"/>
        </w:rPr>
        <w:t xml:space="preserve">- определение места жительства в субъекте получения меры поддержки.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  <w:lang w:eastAsia="ru-RU"/>
        </w:rPr>
        <w:t xml:space="preserve">Анализ совокупности признаков осуществляется путем межведомственных запросов в электронном виде, после чего формируется реестр получателей.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  <w:lang w:eastAsia="ru-RU"/>
        </w:rPr>
        <w:t xml:space="preserve">Перечень потенциальных получателей меры социальной поддержки должен быть сверен ответственным специалистом со списком граждан, которые уже получили меру социальной поддержки.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widowControl w:val="off"/>
        <w:tabs>
          <w:tab w:val="left" w:pos="709" w:leader="none"/>
        </w:tabs>
        <w:rPr>
          <w:rFonts w:ascii="Times New Roman" w:hAnsi="Times New Roman" w:cs="Times New Roman" w:eastAsia="Calibri"/>
          <w:sz w:val="26"/>
          <w:szCs w:val="26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Получение меры поддержки через </w:t>
      </w:r>
      <w:r>
        <w:rPr>
          <w:rFonts w:ascii="Times New Roman" w:hAnsi="Times New Roman" w:cs="Times New Roman" w:eastAsia="Arial"/>
          <w:color w:val="000000"/>
          <w:sz w:val="26"/>
          <w:szCs w:val="26"/>
        </w:rPr>
        <w:t xml:space="preserve">государственное автономное учреждение Белгородской области «Многофункциональный центр предоставления государственных и муниципальных услуг»</w:t>
      </w: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 (далее - МФЦ)</w:t>
      </w: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не предусмотрено.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widowControl w:val="off"/>
        <w:tabs>
          <w:tab w:val="left" w:pos="709" w:leader="none"/>
        </w:tabs>
        <w:rPr>
          <w:rFonts w:ascii="Times New Roman" w:hAnsi="Times New Roman" w:cs="Times New Roman" w:eastAsia="Calibri"/>
          <w:sz w:val="26"/>
          <w:szCs w:val="26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Подача заявлений на получение меры поддержки возможна в секторе пользовательского сопровождения в МФЦ через информационно-телекоммуникационную сеть «Интернет» при наличии технической возможности.»;</w:t>
      </w:r>
      <w:r>
        <w:rPr>
          <w:sz w:val="26"/>
        </w:rPr>
      </w:r>
    </w:p>
    <w:p>
      <w:pPr>
        <w:pStyle w:val="858"/>
        <w:numPr>
          <w:ilvl w:val="0"/>
          <w:numId w:val="11"/>
        </w:numPr>
        <w:ind w:left="0" w:right="0" w:firstLine="850"/>
        <w:jc w:val="both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пункт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2.9</w:t>
      </w:r>
      <w:r>
        <w:rPr>
          <w:rFonts w:ascii="Times New Roman" w:hAnsi="Times New Roman" w:cs="Times New Roman"/>
          <w:sz w:val="26"/>
          <w:szCs w:val="26"/>
        </w:rPr>
        <w:t xml:space="preserve"> раздела </w:t>
      </w:r>
      <w:r>
        <w:rPr>
          <w:rFonts w:ascii="Times New Roman" w:hAnsi="Times New Roman" w:cs="Times New Roman"/>
          <w:sz w:val="26"/>
          <w:szCs w:val="26"/>
        </w:rPr>
        <w:t xml:space="preserve">2 «Порядок предоставления льготного горячего питания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</w:t>
      </w:r>
      <w:r>
        <w:rPr>
          <w:rFonts w:ascii="Times New Roman" w:hAnsi="Times New Roman" w:cs="Times New Roman" w:eastAsia="Arial"/>
          <w:sz w:val="26"/>
          <w:szCs w:val="26"/>
        </w:rPr>
        <w:t xml:space="preserve">: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widowControl w:val="off"/>
        <w:tabs>
          <w:tab w:val="left" w:pos="709" w:leader="none"/>
        </w:tabs>
        <w:rPr>
          <w:rFonts w:ascii="Times New Roman" w:hAnsi="Times New Roman" w:cs="Times New Roman" w:eastAsia="Calibri"/>
          <w:sz w:val="26"/>
          <w:szCs w:val="26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sz w:val="26"/>
          <w:szCs w:val="26"/>
        </w:rPr>
        <w:t xml:space="preserve">«2.9. </w:t>
      </w: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Основаниями для отказа в </w:t>
      </w: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предоставлении льготного горячего питания </w:t>
      </w: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дет</w:t>
      </w: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ям </w:t>
      </w: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участников </w:t>
      </w: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специальной военной </w:t>
      </w:r>
      <w:r>
        <w:rPr>
          <w:rFonts w:ascii="Times New Roman" w:hAnsi="Times New Roman" w:cs="Times New Roman"/>
          <w:sz w:val="26"/>
          <w:szCs w:val="26"/>
        </w:rPr>
        <w:t xml:space="preserve">операции, обучающимся в 1-11 классах муниципальных образовательных организаций Новооскольского муниципального округа Белгородской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(в том числе в случае гибели (смерти) участников специальной военной операции) </w:t>
      </w: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являются: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widowControl w:val="off"/>
        <w:tabs>
          <w:tab w:val="left" w:pos="709" w:leader="none"/>
        </w:tabs>
        <w:rPr>
          <w:rFonts w:ascii="Times New Roman" w:hAnsi="Times New Roman" w:cs="Times New Roman" w:eastAsia="Calibri"/>
          <w:sz w:val="26"/>
          <w:szCs w:val="26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а) отсутствие у заявителей права на получение меры поддержки; 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widowControl w:val="off"/>
        <w:tabs>
          <w:tab w:val="left" w:pos="709" w:leader="none"/>
        </w:tabs>
        <w:rPr>
          <w:rFonts w:ascii="Times New Roman" w:hAnsi="Times New Roman" w:cs="Times New Roman" w:eastAsia="Calibri"/>
          <w:sz w:val="26"/>
          <w:szCs w:val="26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б)</w:t>
      </w: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обнаружение не соответствующих действительности сведений, содержащихся в заявлении об оказании меры поддержки и представленных вместе           с заявлением документах.».</w:t>
      </w:r>
      <w:r>
        <w:rPr>
          <w:sz w:val="26"/>
        </w:rPr>
      </w:r>
    </w:p>
    <w:p>
      <w:pPr>
        <w:pStyle w:val="858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 Раздел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 «Порядок предоставления льготного горячего питания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 Порядка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дополнить пунктом 2.13</w:t>
      </w:r>
      <w:r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  <w:r>
        <w:rPr>
          <w:sz w:val="26"/>
        </w:rPr>
      </w:r>
    </w:p>
    <w:p>
      <w:pPr>
        <w:pStyle w:val="858"/>
        <w:ind w:firstLine="851"/>
        <w:jc w:val="both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«2.13. Мера поддержки лицам, участвующим в специальной военной операции, и членам их семей предоставляется не менее чем до конца года, следующего за годом, в котором будет завершена специальная военная операция.».</w:t>
      </w:r>
      <w:r>
        <w:rPr>
          <w:sz w:val="26"/>
        </w:rPr>
      </w:r>
    </w:p>
    <w:p>
      <w:pPr>
        <w:pStyle w:val="858"/>
        <w:numPr>
          <w:ilvl w:val="0"/>
          <w:numId w:val="3"/>
        </w:num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Настоящее решение опубликовать в сетевом издании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«Вперед Новооскольская газета» (</w:t>
      </w:r>
      <w:r>
        <w:rPr>
          <w:rFonts w:ascii="Times New Roman" w:hAnsi="Times New Roman" w:cs="Times New Roman" w:eastAsia="Times New Roman"/>
          <w:sz w:val="26"/>
          <w:szCs w:val="26"/>
          <w:lang w:val="en-US" w:eastAsia="ru-RU"/>
        </w:rPr>
        <w:t xml:space="preserve">no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-</w:t>
      </w:r>
      <w:r>
        <w:rPr>
          <w:rFonts w:ascii="Times New Roman" w:hAnsi="Times New Roman" w:cs="Times New Roman" w:eastAsia="Times New Roman"/>
          <w:sz w:val="26"/>
          <w:szCs w:val="26"/>
          <w:lang w:val="en-US" w:eastAsia="ru-RU"/>
        </w:rPr>
        <w:t xml:space="preserve">vpered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sz w:val="26"/>
          <w:szCs w:val="26"/>
          <w:lang w:val="en-US" w:eastAsia="ru-RU"/>
        </w:rPr>
        <w:t xml:space="preserve">ru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) и разместить на официальном сайте органов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местного самоуправления Новооскольского муниципального округа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(novyjoskol-r31.gosweb.gosuslugi.ru) в информационно-телекоммуникационной сети «Интернет».</w:t>
      </w:r>
      <w:r>
        <w:rPr>
          <w:sz w:val="26"/>
        </w:rPr>
      </w:r>
    </w:p>
    <w:p>
      <w:pPr>
        <w:pStyle w:val="858"/>
        <w:numPr>
          <w:ilvl w:val="0"/>
          <w:numId w:val="3"/>
        </w:num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Настоящее решение вступает в силу после дня его официального опубликования.</w:t>
      </w:r>
      <w:r>
        <w:rPr>
          <w:sz w:val="26"/>
        </w:rPr>
      </w:r>
    </w:p>
    <w:p>
      <w:pPr>
        <w:pStyle w:val="858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Контроль за исполнением решения возложить на постоянную комиссию Совета депутатов Новооскольского муниципального округа Белгородской области </w:t>
      </w:r>
      <w:r>
        <w:rPr>
          <w:rFonts w:ascii="Times New Roman" w:hAnsi="Times New Roman" w:cs="Times New Roman"/>
          <w:sz w:val="26"/>
          <w:szCs w:val="26"/>
        </w:rPr>
        <w:t xml:space="preserve">по местному самоуправлению, нормативно – правовой деятельности и общественному правопорядку (</w:t>
      </w:r>
      <w:r>
        <w:rPr>
          <w:rFonts w:ascii="Times New Roman" w:hAnsi="Times New Roman" w:cs="Times New Roman"/>
          <w:sz w:val="26"/>
          <w:szCs w:val="26"/>
        </w:rPr>
        <w:t xml:space="preserve">Локтионов</w:t>
      </w:r>
      <w:r>
        <w:rPr>
          <w:rFonts w:ascii="Times New Roman" w:hAnsi="Times New Roman" w:cs="Times New Roman"/>
          <w:sz w:val="26"/>
          <w:szCs w:val="26"/>
        </w:rPr>
        <w:t xml:space="preserve"> А.С.).</w:t>
      </w:r>
      <w:r>
        <w:rPr>
          <w:sz w:val="26"/>
        </w:rPr>
      </w:r>
    </w:p>
    <w:p>
      <w:pPr>
        <w:pStyle w:val="858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sz w:val="26"/>
        </w:rPr>
      </w:r>
    </w:p>
    <w:p>
      <w:pPr>
        <w:pStyle w:val="858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sz w:val="26"/>
        </w:rPr>
      </w:r>
    </w:p>
    <w:p>
      <w:pPr>
        <w:pStyle w:val="858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sz w:val="26"/>
        </w:rPr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5778"/>
        <w:gridCol w:w="3969"/>
      </w:tblGrid>
      <w:tr>
        <w:trPr/>
        <w:tc>
          <w:tcPr>
            <w:tcW w:w="5778" w:type="dxa"/>
            <w:textDirection w:val="lrTb"/>
            <w:noWrap w:val="false"/>
          </w:tcPr>
          <w:p>
            <w:pPr>
              <w:pStyle w:val="85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Председатель Совета депутатов</w:t>
            </w:r>
            <w:r>
              <w:rPr>
                <w:sz w:val="26"/>
              </w:rPr>
            </w:r>
          </w:p>
          <w:p>
            <w:pPr>
              <w:pStyle w:val="85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Новооскольского муниципального округа</w:t>
            </w:r>
            <w:r>
              <w:rPr>
                <w:sz w:val="26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858"/>
              <w:ind w:firstLine="85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r>
            <w:r>
              <w:rPr>
                <w:sz w:val="26"/>
              </w:rPr>
            </w:r>
          </w:p>
          <w:p>
            <w:pPr>
              <w:pStyle w:val="858"/>
              <w:ind w:firstLine="851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А.И. Попова</w:t>
            </w:r>
            <w:r>
              <w:rPr>
                <w:sz w:val="26"/>
              </w:rPr>
            </w:r>
          </w:p>
        </w:tc>
      </w:tr>
    </w:tbl>
    <w:p>
      <w:pPr>
        <w:pStyle w:val="858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sz w:val="26"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134" w:right="567" w:bottom="1134" w:left="1701" w:header="397" w:footer="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302524874"/>
      <w:docPartObj>
        <w:docPartGallery w:val="Page Numbers (Top of Page)"/>
        <w:docPartUnique w:val="true"/>
      </w:docPartObj>
      <w:rPr/>
    </w:sdtPr>
    <w:sdtContent>
      <w:p>
        <w:pPr>
          <w:pStyle w:val="861"/>
          <w:jc w:val="center"/>
          <w:rPr>
            <w:rFonts w:ascii="Times New Roman" w:hAnsi="Times New Roman" w:cs="Times New Roman"/>
            <w:sz w:val="26"/>
            <w:szCs w:val="26"/>
          </w:rPr>
        </w:pPr>
        <w:r>
          <w:rPr>
            <w:rFonts w:ascii="Times New Roman" w:hAnsi="Times New Roman" w:cs="Times New Roman"/>
            <w:sz w:val="26"/>
            <w:szCs w:val="26"/>
          </w:rPr>
          <w:fldChar w:fldCharType="begin"/>
        </w:r>
        <w:r>
          <w:rPr>
            <w:rFonts w:ascii="Times New Roman" w:hAnsi="Times New Roman" w:cs="Times New Roman"/>
            <w:sz w:val="26"/>
            <w:szCs w:val="26"/>
          </w:rPr>
          <w:instrText xml:space="preserve">PAGE   \* MERGEFORMAT</w:instrText>
        </w:r>
        <w:r>
          <w:rPr>
            <w:rFonts w:ascii="Times New Roman" w:hAnsi="Times New Roman" w:cs="Times New Roman"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sz w:val="26"/>
            <w:szCs w:val="26"/>
          </w:rPr>
          <w:t xml:space="preserve">5</w:t>
        </w:r>
        <w:r>
          <w:rPr>
            <w:rFonts w:ascii="Times New Roman" w:hAnsi="Times New Roman" w:cs="Times New Roman"/>
            <w:sz w:val="26"/>
            <w:szCs w:val="26"/>
          </w:rPr>
          <w:fldChar w:fldCharType="end"/>
        </w:r>
        <w:r/>
      </w:p>
    </w:sdtContent>
  </w:sdt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1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</w:r>
    <w:r/>
  </w:p>
  <w:p>
    <w:pPr>
      <w:pStyle w:val="86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"/>
      <w:lvlJc w:val="right"/>
      <w:pPr>
        <w:ind w:left="1931" w:firstLine="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56" w:hanging="4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ascii="Wingdings" w:hAnsi="Wingdings" w:cs="Wingdings" w:eastAsia="Wingdings"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28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300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72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44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16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88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60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320" w:hanging="360"/>
      </w:pPr>
      <w:rPr>
        <w:rFonts w:ascii="Wingdings" w:hAnsi="Wingdings" w:cs="Wingdings" w:eastAsia="Wingdings"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28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300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72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44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16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88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60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320" w:hanging="360"/>
      </w:pPr>
      <w:rPr>
        <w:rFonts w:ascii="Wingdings" w:hAnsi="Wingdings" w:cs="Wingdings" w:eastAsia="Wingdings"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28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300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72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44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16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88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60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320" w:hanging="360"/>
      </w:pPr>
      <w:rPr>
        <w:rFonts w:ascii="Wingdings" w:hAnsi="Wingdings" w:cs="Wingdings" w:eastAsia="Wingdings"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28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300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72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44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16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88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60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320" w:hanging="360"/>
      </w:pPr>
      <w:rPr>
        <w:rFonts w:ascii="Wingdings" w:hAnsi="Wingdings" w:cs="Wingdings" w:eastAsia="Wingdings"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28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300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72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44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16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88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60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320" w:hanging="360"/>
      </w:pPr>
      <w:rPr>
        <w:rFonts w:ascii="Wingdings" w:hAnsi="Wingdings" w:cs="Wingdings" w:eastAsia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0">
    <w:name w:val="Heading 1 Char"/>
    <w:basedOn w:val="855"/>
    <w:link w:val="854"/>
    <w:uiPriority w:val="9"/>
    <w:rPr>
      <w:rFonts w:ascii="Arial" w:hAnsi="Arial" w:cs="Arial" w:eastAsia="Arial"/>
      <w:sz w:val="40"/>
      <w:szCs w:val="40"/>
    </w:rPr>
  </w:style>
  <w:style w:type="paragraph" w:styleId="681">
    <w:name w:val="Heading 2"/>
    <w:basedOn w:val="853"/>
    <w:next w:val="853"/>
    <w:link w:val="682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82">
    <w:name w:val="Heading 2 Char"/>
    <w:basedOn w:val="855"/>
    <w:link w:val="681"/>
    <w:uiPriority w:val="9"/>
    <w:rPr>
      <w:rFonts w:ascii="Arial" w:hAnsi="Arial" w:cs="Arial" w:eastAsia="Arial"/>
      <w:sz w:val="34"/>
    </w:rPr>
  </w:style>
  <w:style w:type="paragraph" w:styleId="683">
    <w:name w:val="Heading 3"/>
    <w:basedOn w:val="853"/>
    <w:next w:val="853"/>
    <w:link w:val="684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84">
    <w:name w:val="Heading 3 Char"/>
    <w:basedOn w:val="855"/>
    <w:link w:val="683"/>
    <w:uiPriority w:val="9"/>
    <w:rPr>
      <w:rFonts w:ascii="Arial" w:hAnsi="Arial" w:cs="Arial" w:eastAsia="Arial"/>
      <w:sz w:val="30"/>
      <w:szCs w:val="30"/>
    </w:rPr>
  </w:style>
  <w:style w:type="paragraph" w:styleId="685">
    <w:name w:val="Heading 4"/>
    <w:basedOn w:val="853"/>
    <w:next w:val="853"/>
    <w:link w:val="686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86">
    <w:name w:val="Heading 4 Char"/>
    <w:basedOn w:val="855"/>
    <w:link w:val="685"/>
    <w:uiPriority w:val="9"/>
    <w:rPr>
      <w:rFonts w:ascii="Arial" w:hAnsi="Arial" w:cs="Arial" w:eastAsia="Arial"/>
      <w:b/>
      <w:bCs/>
      <w:sz w:val="26"/>
      <w:szCs w:val="26"/>
    </w:rPr>
  </w:style>
  <w:style w:type="paragraph" w:styleId="687">
    <w:name w:val="Heading 5"/>
    <w:basedOn w:val="853"/>
    <w:next w:val="853"/>
    <w:link w:val="688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88">
    <w:name w:val="Heading 5 Char"/>
    <w:basedOn w:val="855"/>
    <w:link w:val="687"/>
    <w:uiPriority w:val="9"/>
    <w:rPr>
      <w:rFonts w:ascii="Arial" w:hAnsi="Arial" w:cs="Arial" w:eastAsia="Arial"/>
      <w:b/>
      <w:bCs/>
      <w:sz w:val="24"/>
      <w:szCs w:val="24"/>
    </w:rPr>
  </w:style>
  <w:style w:type="paragraph" w:styleId="689">
    <w:name w:val="Heading 6"/>
    <w:basedOn w:val="853"/>
    <w:next w:val="853"/>
    <w:link w:val="690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90">
    <w:name w:val="Heading 6 Char"/>
    <w:basedOn w:val="855"/>
    <w:link w:val="689"/>
    <w:uiPriority w:val="9"/>
    <w:rPr>
      <w:rFonts w:ascii="Arial" w:hAnsi="Arial" w:cs="Arial" w:eastAsia="Arial"/>
      <w:b/>
      <w:bCs/>
      <w:sz w:val="22"/>
      <w:szCs w:val="22"/>
    </w:rPr>
  </w:style>
  <w:style w:type="paragraph" w:styleId="691">
    <w:name w:val="Heading 7"/>
    <w:basedOn w:val="853"/>
    <w:next w:val="853"/>
    <w:link w:val="692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92">
    <w:name w:val="Heading 7 Char"/>
    <w:basedOn w:val="855"/>
    <w:link w:val="691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93">
    <w:name w:val="Heading 8"/>
    <w:basedOn w:val="853"/>
    <w:next w:val="853"/>
    <w:link w:val="694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94">
    <w:name w:val="Heading 8 Char"/>
    <w:basedOn w:val="855"/>
    <w:link w:val="693"/>
    <w:uiPriority w:val="9"/>
    <w:rPr>
      <w:rFonts w:ascii="Arial" w:hAnsi="Arial" w:cs="Arial" w:eastAsia="Arial"/>
      <w:i/>
      <w:iCs/>
      <w:sz w:val="22"/>
      <w:szCs w:val="22"/>
    </w:rPr>
  </w:style>
  <w:style w:type="paragraph" w:styleId="695">
    <w:name w:val="Heading 9"/>
    <w:basedOn w:val="853"/>
    <w:next w:val="853"/>
    <w:link w:val="696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96">
    <w:name w:val="Heading 9 Char"/>
    <w:basedOn w:val="855"/>
    <w:link w:val="695"/>
    <w:uiPriority w:val="9"/>
    <w:rPr>
      <w:rFonts w:ascii="Arial" w:hAnsi="Arial" w:cs="Arial" w:eastAsia="Arial"/>
      <w:i/>
      <w:iCs/>
      <w:sz w:val="21"/>
      <w:szCs w:val="21"/>
    </w:rPr>
  </w:style>
  <w:style w:type="paragraph" w:styleId="697">
    <w:name w:val="List Paragraph"/>
    <w:basedOn w:val="853"/>
    <w:qFormat/>
    <w:uiPriority w:val="34"/>
    <w:pPr>
      <w:contextualSpacing w:val="true"/>
      <w:ind w:left="720"/>
    </w:pPr>
  </w:style>
  <w:style w:type="paragraph" w:styleId="698">
    <w:name w:val="Title"/>
    <w:basedOn w:val="853"/>
    <w:next w:val="853"/>
    <w:link w:val="69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99">
    <w:name w:val="Title Char"/>
    <w:basedOn w:val="855"/>
    <w:link w:val="698"/>
    <w:uiPriority w:val="10"/>
    <w:rPr>
      <w:sz w:val="48"/>
      <w:szCs w:val="48"/>
    </w:rPr>
  </w:style>
  <w:style w:type="paragraph" w:styleId="700">
    <w:name w:val="Subtitle"/>
    <w:basedOn w:val="853"/>
    <w:next w:val="853"/>
    <w:link w:val="701"/>
    <w:qFormat/>
    <w:uiPriority w:val="11"/>
    <w:rPr>
      <w:sz w:val="24"/>
      <w:szCs w:val="24"/>
    </w:rPr>
    <w:pPr>
      <w:spacing w:after="200" w:before="200"/>
    </w:pPr>
  </w:style>
  <w:style w:type="character" w:styleId="701">
    <w:name w:val="Subtitle Char"/>
    <w:basedOn w:val="855"/>
    <w:link w:val="700"/>
    <w:uiPriority w:val="11"/>
    <w:rPr>
      <w:sz w:val="24"/>
      <w:szCs w:val="24"/>
    </w:rPr>
  </w:style>
  <w:style w:type="paragraph" w:styleId="702">
    <w:name w:val="Quote"/>
    <w:basedOn w:val="853"/>
    <w:next w:val="853"/>
    <w:link w:val="703"/>
    <w:qFormat/>
    <w:uiPriority w:val="29"/>
    <w:rPr>
      <w:i/>
    </w:rPr>
    <w:pPr>
      <w:ind w:left="720" w:right="720"/>
    </w:pPr>
  </w:style>
  <w:style w:type="character" w:styleId="703">
    <w:name w:val="Quote Char"/>
    <w:link w:val="702"/>
    <w:uiPriority w:val="29"/>
    <w:rPr>
      <w:i/>
    </w:rPr>
  </w:style>
  <w:style w:type="paragraph" w:styleId="704">
    <w:name w:val="Intense Quote"/>
    <w:basedOn w:val="853"/>
    <w:next w:val="853"/>
    <w:link w:val="705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05">
    <w:name w:val="Intense Quote Char"/>
    <w:link w:val="704"/>
    <w:uiPriority w:val="30"/>
    <w:rPr>
      <w:i/>
    </w:rPr>
  </w:style>
  <w:style w:type="character" w:styleId="706">
    <w:name w:val="Header Char"/>
    <w:basedOn w:val="855"/>
    <w:link w:val="861"/>
    <w:uiPriority w:val="99"/>
  </w:style>
  <w:style w:type="character" w:styleId="707">
    <w:name w:val="Footer Char"/>
    <w:basedOn w:val="855"/>
    <w:link w:val="863"/>
    <w:uiPriority w:val="99"/>
  </w:style>
  <w:style w:type="paragraph" w:styleId="708">
    <w:name w:val="Caption"/>
    <w:basedOn w:val="853"/>
    <w:next w:val="853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09">
    <w:name w:val="Caption Char"/>
    <w:basedOn w:val="708"/>
    <w:link w:val="863"/>
    <w:uiPriority w:val="99"/>
  </w:style>
  <w:style w:type="table" w:styleId="710">
    <w:name w:val="Table Grid Light"/>
    <w:basedOn w:val="85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basedOn w:val="85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basedOn w:val="856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16">
    <w:name w:val="Grid Table 1 Light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1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2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3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4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5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6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24">
    <w:name w:val="Grid Table 2 - Accent 1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25">
    <w:name w:val="Grid Table 2 - Accent 2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Grid Table 2 - Accent 3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Grid Table 2 - Accent 4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Grid Table 2 - Accent 5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Grid Table 2 - Accent 6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3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3 - Accent 1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3 - Accent 2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3 - Accent 3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3 - Accent 4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3 - Accent 5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Grid Table 3 - Accent 6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Grid Table 4"/>
    <w:basedOn w:val="85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38">
    <w:name w:val="Grid Table 4 - Accent 1"/>
    <w:basedOn w:val="85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39">
    <w:name w:val="Grid Table 4 - Accent 2"/>
    <w:basedOn w:val="85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40">
    <w:name w:val="Grid Table 4 - Accent 3"/>
    <w:basedOn w:val="85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41">
    <w:name w:val="Grid Table 4 - Accent 4"/>
    <w:basedOn w:val="85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42">
    <w:name w:val="Grid Table 4 - Accent 5"/>
    <w:basedOn w:val="85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43">
    <w:name w:val="Grid Table 4 - Accent 6"/>
    <w:basedOn w:val="85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44">
    <w:name w:val="Grid Table 5 Dark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45">
    <w:name w:val="Grid Table 5 Dark- Accent 1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46">
    <w:name w:val="Grid Table 5 Dark - Accent 2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47">
    <w:name w:val="Grid Table 5 Dark - Accent 3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48">
    <w:name w:val="Grid Table 5 Dark- Accent 4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49">
    <w:name w:val="Grid Table 5 Dark - Accent 5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50">
    <w:name w:val="Grid Table 5 Dark - Accent 6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51">
    <w:name w:val="Grid Table 6 Colorful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2">
    <w:name w:val="Grid Table 6 Colorful - Accent 1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3">
    <w:name w:val="Grid Table 6 Colorful - Accent 2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4">
    <w:name w:val="Grid Table 6 Colorful - Accent 3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5">
    <w:name w:val="Grid Table 6 Colorful - Accent 4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6">
    <w:name w:val="Grid Table 6 Colorful - Accent 5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6 Colorful - Accent 6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7 Colorful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59">
    <w:name w:val="Grid Table 7 Colorful - Accent 1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60">
    <w:name w:val="Grid Table 7 Colorful - Accent 2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61">
    <w:name w:val="Grid Table 7 Colorful - Accent 3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62">
    <w:name w:val="Grid Table 7 Colorful - Accent 4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63">
    <w:name w:val="Grid Table 7 Colorful - Accent 5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64">
    <w:name w:val="Grid Table 7 Colorful - Accent 6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65">
    <w:name w:val="List Table 1 Light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66">
    <w:name w:val="List Table 1 Light - Accent 1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67">
    <w:name w:val="List Table 1 Light - Accent 2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68">
    <w:name w:val="List Table 1 Light - Accent 3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69">
    <w:name w:val="List Table 1 Light - Accent 4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70">
    <w:name w:val="List Table 1 Light - Accent 5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71">
    <w:name w:val="List Table 1 Light - Accent 6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72">
    <w:name w:val="List Table 2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73">
    <w:name w:val="List Table 2 - Accent 1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74">
    <w:name w:val="List Table 2 - Accent 2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75">
    <w:name w:val="List Table 2 - Accent 3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76">
    <w:name w:val="List Table 2 - Accent 4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77">
    <w:name w:val="List Table 2 - Accent 5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78">
    <w:name w:val="List Table 2 - Accent 6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79">
    <w:name w:val="List Table 3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1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2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3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4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5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6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1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2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3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4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5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6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1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2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3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4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5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6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6 Colorful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01">
    <w:name w:val="List Table 6 Colorful - Accent 1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02">
    <w:name w:val="List Table 6 Colorful - Accent 2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03">
    <w:name w:val="List Table 6 Colorful - Accent 3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04">
    <w:name w:val="List Table 6 Colorful - Accent 4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05">
    <w:name w:val="List Table 6 Colorful - Accent 5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06">
    <w:name w:val="List Table 6 Colorful - Accent 6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07">
    <w:name w:val="List Table 7 Colorful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8">
    <w:name w:val="List Table 7 Colorful - Accent 1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9">
    <w:name w:val="List Table 7 Colorful - Accent 2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0">
    <w:name w:val="List Table 7 Colorful - Accent 3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1">
    <w:name w:val="List Table 7 Colorful - Accent 4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2">
    <w:name w:val="List Table 7 Colorful - Accent 5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3">
    <w:name w:val="List Table 7 Colorful - Accent 6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4">
    <w:name w:val="Lined - Accent"/>
    <w:basedOn w:val="85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15">
    <w:name w:val="Lined - Accent 1"/>
    <w:basedOn w:val="85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16">
    <w:name w:val="Lined - Accent 2"/>
    <w:basedOn w:val="85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17">
    <w:name w:val="Lined - Accent 3"/>
    <w:basedOn w:val="85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18">
    <w:name w:val="Lined - Accent 4"/>
    <w:basedOn w:val="85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19">
    <w:name w:val="Lined - Accent 5"/>
    <w:basedOn w:val="85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20">
    <w:name w:val="Lined - Accent 6"/>
    <w:basedOn w:val="85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21">
    <w:name w:val="Bordered &amp; Lined - Accent"/>
    <w:basedOn w:val="85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22">
    <w:name w:val="Bordered &amp; Lined - Accent 1"/>
    <w:basedOn w:val="85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23">
    <w:name w:val="Bordered &amp; Lined - Accent 2"/>
    <w:basedOn w:val="85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24">
    <w:name w:val="Bordered &amp; Lined - Accent 3"/>
    <w:basedOn w:val="85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25">
    <w:name w:val="Bordered &amp; Lined - Accent 4"/>
    <w:basedOn w:val="85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26">
    <w:name w:val="Bordered &amp; Lined - Accent 5"/>
    <w:basedOn w:val="85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27">
    <w:name w:val="Bordered &amp; Lined - Accent 6"/>
    <w:basedOn w:val="85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28">
    <w:name w:val="Bordered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29">
    <w:name w:val="Bordered - Accent 1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30">
    <w:name w:val="Bordered - Accent 2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31">
    <w:name w:val="Bordered - Accent 3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32">
    <w:name w:val="Bordered - Accent 4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33">
    <w:name w:val="Bordered - Accent 5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34">
    <w:name w:val="Bordered - Accent 6"/>
    <w:basedOn w:val="85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853"/>
    <w:link w:val="837"/>
    <w:uiPriority w:val="99"/>
    <w:semiHidden/>
    <w:unhideWhenUsed/>
    <w:rPr>
      <w:sz w:val="18"/>
    </w:rPr>
    <w:pPr>
      <w:spacing w:lineRule="auto" w:line="240" w:after="40"/>
    </w:pPr>
  </w:style>
  <w:style w:type="character" w:styleId="837">
    <w:name w:val="Footnote Text Char"/>
    <w:link w:val="836"/>
    <w:uiPriority w:val="99"/>
    <w:rPr>
      <w:sz w:val="18"/>
    </w:rPr>
  </w:style>
  <w:style w:type="character" w:styleId="838">
    <w:name w:val="footnote reference"/>
    <w:basedOn w:val="855"/>
    <w:uiPriority w:val="99"/>
    <w:unhideWhenUsed/>
    <w:rPr>
      <w:vertAlign w:val="superscript"/>
    </w:rPr>
  </w:style>
  <w:style w:type="paragraph" w:styleId="839">
    <w:name w:val="endnote text"/>
    <w:basedOn w:val="853"/>
    <w:link w:val="840"/>
    <w:uiPriority w:val="99"/>
    <w:semiHidden/>
    <w:unhideWhenUsed/>
    <w:rPr>
      <w:sz w:val="20"/>
    </w:rPr>
    <w:pPr>
      <w:spacing w:lineRule="auto" w:line="240" w:after="0"/>
    </w:pPr>
  </w:style>
  <w:style w:type="character" w:styleId="840">
    <w:name w:val="Endnote Text Char"/>
    <w:link w:val="839"/>
    <w:uiPriority w:val="99"/>
    <w:rPr>
      <w:sz w:val="20"/>
    </w:rPr>
  </w:style>
  <w:style w:type="character" w:styleId="841">
    <w:name w:val="endnote reference"/>
    <w:basedOn w:val="855"/>
    <w:uiPriority w:val="99"/>
    <w:semiHidden/>
    <w:unhideWhenUsed/>
    <w:rPr>
      <w:vertAlign w:val="superscript"/>
    </w:rPr>
  </w:style>
  <w:style w:type="paragraph" w:styleId="842">
    <w:name w:val="toc 1"/>
    <w:basedOn w:val="853"/>
    <w:next w:val="853"/>
    <w:uiPriority w:val="39"/>
    <w:unhideWhenUsed/>
    <w:pPr>
      <w:ind w:left="0" w:right="0" w:firstLine="0"/>
      <w:spacing w:after="57"/>
    </w:pPr>
  </w:style>
  <w:style w:type="paragraph" w:styleId="843">
    <w:name w:val="toc 2"/>
    <w:basedOn w:val="853"/>
    <w:next w:val="853"/>
    <w:uiPriority w:val="39"/>
    <w:unhideWhenUsed/>
    <w:pPr>
      <w:ind w:left="283" w:right="0" w:firstLine="0"/>
      <w:spacing w:after="57"/>
    </w:pPr>
  </w:style>
  <w:style w:type="paragraph" w:styleId="844">
    <w:name w:val="toc 3"/>
    <w:basedOn w:val="853"/>
    <w:next w:val="853"/>
    <w:uiPriority w:val="39"/>
    <w:unhideWhenUsed/>
    <w:pPr>
      <w:ind w:left="567" w:right="0" w:firstLine="0"/>
      <w:spacing w:after="57"/>
    </w:pPr>
  </w:style>
  <w:style w:type="paragraph" w:styleId="845">
    <w:name w:val="toc 4"/>
    <w:basedOn w:val="853"/>
    <w:next w:val="853"/>
    <w:uiPriority w:val="39"/>
    <w:unhideWhenUsed/>
    <w:pPr>
      <w:ind w:left="850" w:right="0" w:firstLine="0"/>
      <w:spacing w:after="57"/>
    </w:pPr>
  </w:style>
  <w:style w:type="paragraph" w:styleId="846">
    <w:name w:val="toc 5"/>
    <w:basedOn w:val="853"/>
    <w:next w:val="853"/>
    <w:uiPriority w:val="39"/>
    <w:unhideWhenUsed/>
    <w:pPr>
      <w:ind w:left="1134" w:right="0" w:firstLine="0"/>
      <w:spacing w:after="57"/>
    </w:pPr>
  </w:style>
  <w:style w:type="paragraph" w:styleId="847">
    <w:name w:val="toc 6"/>
    <w:basedOn w:val="853"/>
    <w:next w:val="853"/>
    <w:uiPriority w:val="39"/>
    <w:unhideWhenUsed/>
    <w:pPr>
      <w:ind w:left="1417" w:right="0" w:firstLine="0"/>
      <w:spacing w:after="57"/>
    </w:pPr>
  </w:style>
  <w:style w:type="paragraph" w:styleId="848">
    <w:name w:val="toc 7"/>
    <w:basedOn w:val="853"/>
    <w:next w:val="853"/>
    <w:uiPriority w:val="39"/>
    <w:unhideWhenUsed/>
    <w:pPr>
      <w:ind w:left="1701" w:right="0" w:firstLine="0"/>
      <w:spacing w:after="57"/>
    </w:pPr>
  </w:style>
  <w:style w:type="paragraph" w:styleId="849">
    <w:name w:val="toc 8"/>
    <w:basedOn w:val="853"/>
    <w:next w:val="853"/>
    <w:uiPriority w:val="39"/>
    <w:unhideWhenUsed/>
    <w:pPr>
      <w:ind w:left="1984" w:right="0" w:firstLine="0"/>
      <w:spacing w:after="57"/>
    </w:pPr>
  </w:style>
  <w:style w:type="paragraph" w:styleId="850">
    <w:name w:val="toc 9"/>
    <w:basedOn w:val="853"/>
    <w:next w:val="853"/>
    <w:uiPriority w:val="39"/>
    <w:unhideWhenUsed/>
    <w:pPr>
      <w:ind w:left="2268" w:right="0" w:firstLine="0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853"/>
    <w:next w:val="853"/>
    <w:uiPriority w:val="99"/>
    <w:unhideWhenUsed/>
    <w:pPr>
      <w:spacing w:after="0" w:afterAutospacing="0"/>
    </w:pPr>
  </w:style>
  <w:style w:type="paragraph" w:styleId="853" w:default="1">
    <w:name w:val="Normal"/>
    <w:qFormat/>
  </w:style>
  <w:style w:type="paragraph" w:styleId="854">
    <w:name w:val="Heading 1"/>
    <w:basedOn w:val="853"/>
    <w:next w:val="853"/>
    <w:link w:val="86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before="480"/>
      <w:outlineLvl w:val="0"/>
    </w:pPr>
  </w:style>
  <w:style w:type="character" w:styleId="855" w:default="1">
    <w:name w:val="Default Paragraph Font"/>
    <w:uiPriority w:val="1"/>
    <w:semiHidden/>
    <w:unhideWhenUsed/>
  </w:style>
  <w:style w:type="table" w:styleId="8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7" w:default="1">
    <w:name w:val="No List"/>
    <w:uiPriority w:val="99"/>
    <w:semiHidden/>
    <w:unhideWhenUsed/>
  </w:style>
  <w:style w:type="paragraph" w:styleId="858">
    <w:name w:val="No Spacing"/>
    <w:link w:val="860"/>
    <w:qFormat/>
    <w:uiPriority w:val="1"/>
    <w:pPr>
      <w:spacing w:lineRule="auto" w:line="240" w:after="0"/>
    </w:pPr>
  </w:style>
  <w:style w:type="table" w:styleId="859">
    <w:name w:val="Table Grid"/>
    <w:basedOn w:val="856"/>
    <w:uiPriority w:val="59"/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character" w:styleId="860" w:customStyle="1">
    <w:name w:val="Без интервала Знак"/>
    <w:basedOn w:val="855"/>
    <w:link w:val="858"/>
  </w:style>
  <w:style w:type="paragraph" w:styleId="861">
    <w:name w:val="Header"/>
    <w:basedOn w:val="853"/>
    <w:link w:val="862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62" w:customStyle="1">
    <w:name w:val="Верхний колонтитул Знак"/>
    <w:basedOn w:val="855"/>
    <w:link w:val="861"/>
    <w:uiPriority w:val="99"/>
  </w:style>
  <w:style w:type="paragraph" w:styleId="863">
    <w:name w:val="Footer"/>
    <w:basedOn w:val="853"/>
    <w:link w:val="864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64" w:customStyle="1">
    <w:name w:val="Нижний колонтитул Знак"/>
    <w:basedOn w:val="855"/>
    <w:link w:val="863"/>
    <w:uiPriority w:val="99"/>
  </w:style>
  <w:style w:type="paragraph" w:styleId="865">
    <w:name w:val="Body Text"/>
    <w:basedOn w:val="853"/>
    <w:link w:val="866"/>
    <w:uiPriority w:val="99"/>
    <w:semiHidden/>
    <w:unhideWhenUsed/>
    <w:pPr>
      <w:spacing w:after="120"/>
    </w:pPr>
  </w:style>
  <w:style w:type="character" w:styleId="866" w:customStyle="1">
    <w:name w:val="Основной текст Знак"/>
    <w:basedOn w:val="855"/>
    <w:link w:val="865"/>
    <w:uiPriority w:val="99"/>
    <w:semiHidden/>
  </w:style>
  <w:style w:type="paragraph" w:styleId="867">
    <w:name w:val="Balloon Text"/>
    <w:basedOn w:val="853"/>
    <w:link w:val="868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868" w:customStyle="1">
    <w:name w:val="Текст выноски Знак"/>
    <w:basedOn w:val="855"/>
    <w:link w:val="867"/>
    <w:uiPriority w:val="99"/>
    <w:semiHidden/>
    <w:rPr>
      <w:rFonts w:ascii="Segoe UI" w:hAnsi="Segoe UI" w:cs="Segoe UI"/>
      <w:sz w:val="18"/>
      <w:szCs w:val="18"/>
    </w:rPr>
  </w:style>
  <w:style w:type="character" w:styleId="869" w:customStyle="1">
    <w:name w:val="Заголовок 1 Знак"/>
    <w:basedOn w:val="855"/>
    <w:link w:val="854"/>
    <w:uiPriority w:val="9"/>
    <w:rPr>
      <w:rFonts w:ascii="Arial" w:hAnsi="Arial" w:cs="Arial" w:eastAsia="Arial"/>
      <w:sz w:val="40"/>
      <w:szCs w:val="40"/>
    </w:rPr>
  </w:style>
  <w:style w:type="paragraph" w:styleId="870">
    <w:name w:val="Обычный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Relationship Id="rId13" Type="http://schemas.openxmlformats.org/officeDocument/2006/relationships/hyperlink" Target="https://login.consultant.ru/link/?req=doc&amp;base=RLAW072&amp;n=188283&amp;date=18.07.202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prohorova_olga</dc:creator>
  <cp:revision>9</cp:revision>
  <dcterms:created xsi:type="dcterms:W3CDTF">2026-05-19T12:45:00Z</dcterms:created>
  <dcterms:modified xsi:type="dcterms:W3CDTF">2026-05-26T10:46:35Z</dcterms:modified>
</cp:coreProperties>
</file>